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789D" w14:textId="77777777" w:rsidR="00621E79" w:rsidRPr="005423FF" w:rsidRDefault="00DC5F6A">
      <w:pPr>
        <w:ind w:left="709" w:right="1274"/>
        <w:jc w:val="center"/>
        <w:rPr>
          <w:rFonts w:eastAsia="Trebuchet MS" w:cs="Calibri"/>
          <w:b/>
          <w:sz w:val="24"/>
          <w:szCs w:val="24"/>
        </w:rPr>
      </w:pPr>
      <w:r w:rsidRPr="005423FF">
        <w:rPr>
          <w:rFonts w:cs="Calibri"/>
          <w:b/>
          <w:sz w:val="24"/>
          <w:szCs w:val="24"/>
        </w:rPr>
        <w:t>COMUNICATO STAMPA</w:t>
      </w:r>
    </w:p>
    <w:p w14:paraId="4A95E7CA" w14:textId="77777777" w:rsidR="00621E79" w:rsidRPr="005423FF" w:rsidRDefault="00621E79">
      <w:pPr>
        <w:ind w:left="709" w:right="1274"/>
        <w:jc w:val="center"/>
        <w:rPr>
          <w:rFonts w:eastAsia="Trebuchet MS" w:cs="Calibri"/>
          <w:sz w:val="24"/>
          <w:szCs w:val="24"/>
        </w:rPr>
      </w:pPr>
    </w:p>
    <w:p w14:paraId="73EA1888" w14:textId="77777777" w:rsidR="00621E79" w:rsidRPr="005423FF" w:rsidRDefault="00492DE9">
      <w:pPr>
        <w:ind w:left="709" w:right="1274"/>
        <w:jc w:val="center"/>
        <w:rPr>
          <w:rFonts w:eastAsia="Trebuchet MS" w:cs="Calibri"/>
          <w:b/>
          <w:sz w:val="24"/>
          <w:szCs w:val="24"/>
        </w:rPr>
      </w:pPr>
      <w:r w:rsidRPr="005423FF">
        <w:rPr>
          <w:rFonts w:cs="Calibri"/>
          <w:b/>
          <w:sz w:val="24"/>
          <w:szCs w:val="24"/>
        </w:rPr>
        <w:t xml:space="preserve">AVVIO DEL </w:t>
      </w:r>
      <w:r w:rsidR="007702B0">
        <w:rPr>
          <w:rFonts w:cs="Calibri"/>
          <w:b/>
          <w:sz w:val="24"/>
          <w:szCs w:val="24"/>
        </w:rPr>
        <w:t>SECOND</w:t>
      </w:r>
      <w:r w:rsidRPr="005423FF">
        <w:rPr>
          <w:rFonts w:cs="Calibri"/>
          <w:b/>
          <w:sz w:val="24"/>
          <w:szCs w:val="24"/>
        </w:rPr>
        <w:t>O PERIODO DI ESERCIZIO DEI WARRANT EDAC 2018-2021</w:t>
      </w:r>
    </w:p>
    <w:p w14:paraId="76BC05AD" w14:textId="77777777" w:rsidR="00492DE9" w:rsidRPr="005423FF" w:rsidRDefault="00492DE9">
      <w:pPr>
        <w:ind w:left="709" w:right="1274"/>
        <w:jc w:val="both"/>
        <w:rPr>
          <w:rFonts w:cs="Calibri"/>
          <w:sz w:val="24"/>
          <w:szCs w:val="24"/>
        </w:rPr>
      </w:pPr>
      <w:r w:rsidRPr="005423FF">
        <w:rPr>
          <w:rFonts w:cs="Calibri"/>
          <w:i/>
          <w:sz w:val="24"/>
          <w:szCs w:val="24"/>
        </w:rPr>
        <w:t>Genova, 3</w:t>
      </w:r>
      <w:r w:rsidR="00F607A4">
        <w:rPr>
          <w:rFonts w:cs="Calibri"/>
          <w:i/>
          <w:sz w:val="24"/>
          <w:szCs w:val="24"/>
        </w:rPr>
        <w:t>1</w:t>
      </w:r>
      <w:r w:rsidRPr="005423FF">
        <w:rPr>
          <w:rFonts w:cs="Calibri"/>
          <w:i/>
          <w:sz w:val="24"/>
          <w:szCs w:val="24"/>
        </w:rPr>
        <w:t xml:space="preserve"> agosto</w:t>
      </w:r>
      <w:r w:rsidR="00DC5F6A" w:rsidRPr="005423FF">
        <w:rPr>
          <w:rFonts w:cs="Calibri"/>
          <w:i/>
          <w:sz w:val="24"/>
          <w:szCs w:val="24"/>
        </w:rPr>
        <w:t xml:space="preserve"> 20</w:t>
      </w:r>
      <w:r w:rsidR="00CA05CA">
        <w:rPr>
          <w:rFonts w:cs="Calibri"/>
          <w:i/>
          <w:sz w:val="24"/>
          <w:szCs w:val="24"/>
        </w:rPr>
        <w:t>20</w:t>
      </w:r>
      <w:r w:rsidR="00DC5F6A" w:rsidRPr="005423FF">
        <w:rPr>
          <w:rFonts w:cs="Calibri"/>
          <w:sz w:val="24"/>
          <w:szCs w:val="24"/>
        </w:rPr>
        <w:t xml:space="preserve"> - </w:t>
      </w:r>
      <w:proofErr w:type="spellStart"/>
      <w:r w:rsidR="00DC5F6A" w:rsidRPr="005423FF">
        <w:rPr>
          <w:rFonts w:cs="Calibri"/>
          <w:sz w:val="24"/>
          <w:szCs w:val="24"/>
        </w:rPr>
        <w:t>EdiliziAcrobatica</w:t>
      </w:r>
      <w:proofErr w:type="spellEnd"/>
      <w:r w:rsidR="00DC5F6A" w:rsidRPr="005423FF">
        <w:rPr>
          <w:rFonts w:cs="Calibri"/>
          <w:sz w:val="24"/>
          <w:szCs w:val="24"/>
        </w:rPr>
        <w:t xml:space="preserve"> S.p.A.</w:t>
      </w:r>
      <w:r w:rsidRPr="005423FF">
        <w:rPr>
          <w:rFonts w:cs="Calibri"/>
          <w:sz w:val="24"/>
          <w:szCs w:val="24"/>
        </w:rPr>
        <w:t xml:space="preserve"> (la </w:t>
      </w:r>
      <w:r w:rsidRPr="005423FF">
        <w:rPr>
          <w:rFonts w:cs="Calibri"/>
          <w:b/>
          <w:sz w:val="24"/>
          <w:szCs w:val="24"/>
        </w:rPr>
        <w:t>“</w:t>
      </w:r>
      <w:proofErr w:type="spellStart"/>
      <w:r w:rsidRPr="005423FF">
        <w:rPr>
          <w:rFonts w:cs="Calibri"/>
          <w:b/>
          <w:sz w:val="24"/>
          <w:szCs w:val="24"/>
        </w:rPr>
        <w:t>Societa</w:t>
      </w:r>
      <w:proofErr w:type="spellEnd"/>
      <w:r w:rsidRPr="005423FF">
        <w:rPr>
          <w:rFonts w:cs="Calibri"/>
          <w:b/>
          <w:sz w:val="24"/>
          <w:szCs w:val="24"/>
        </w:rPr>
        <w:t xml:space="preserve">̀” </w:t>
      </w:r>
      <w:r w:rsidRPr="005423FF">
        <w:rPr>
          <w:rFonts w:cs="Calibri"/>
          <w:sz w:val="24"/>
          <w:szCs w:val="24"/>
        </w:rPr>
        <w:t xml:space="preserve">o </w:t>
      </w:r>
      <w:r w:rsidRPr="005423FF">
        <w:rPr>
          <w:rFonts w:cs="Calibri"/>
          <w:b/>
          <w:sz w:val="24"/>
          <w:szCs w:val="24"/>
        </w:rPr>
        <w:t>“EDAC”</w:t>
      </w:r>
      <w:r w:rsidRPr="005423FF">
        <w:rPr>
          <w:rFonts w:cs="Calibri"/>
          <w:sz w:val="24"/>
          <w:szCs w:val="24"/>
        </w:rPr>
        <w:t>), società</w:t>
      </w:r>
      <w:r w:rsidRPr="00202DA2">
        <w:rPr>
          <w:rFonts w:cs="Calibri"/>
          <w:sz w:val="24"/>
          <w:szCs w:val="24"/>
        </w:rPr>
        <w:t xml:space="preserve"> </w:t>
      </w:r>
      <w:r w:rsidRPr="005423FF">
        <w:rPr>
          <w:rFonts w:cs="Calibri"/>
          <w:sz w:val="24"/>
          <w:szCs w:val="24"/>
        </w:rPr>
        <w:t>specializzata in lavori di edilizia in doppia fune di sicurezza, quali manutenzioni e ristrutturazioni di palazzi ed altre strutture architettoniche, quotata sul segmento AIM Italia di Borsa Italiana  (</w:t>
      </w:r>
      <w:proofErr w:type="spellStart"/>
      <w:r w:rsidRPr="005423FF">
        <w:rPr>
          <w:rFonts w:cs="Calibri"/>
          <w:sz w:val="24"/>
          <w:szCs w:val="24"/>
        </w:rPr>
        <w:t>ticker</w:t>
      </w:r>
      <w:proofErr w:type="spellEnd"/>
      <w:r w:rsidRPr="005423FF">
        <w:rPr>
          <w:rFonts w:cs="Calibri"/>
          <w:sz w:val="24"/>
          <w:szCs w:val="24"/>
        </w:rPr>
        <w:t xml:space="preserve"> EDAC) e su Euronext </w:t>
      </w:r>
      <w:proofErr w:type="spellStart"/>
      <w:r w:rsidRPr="005423FF">
        <w:rPr>
          <w:rFonts w:cs="Calibri"/>
          <w:sz w:val="24"/>
          <w:szCs w:val="24"/>
        </w:rPr>
        <w:t>Growth</w:t>
      </w:r>
      <w:proofErr w:type="spellEnd"/>
      <w:r w:rsidRPr="005423FF">
        <w:rPr>
          <w:rFonts w:cs="Calibri"/>
          <w:sz w:val="24"/>
          <w:szCs w:val="24"/>
        </w:rPr>
        <w:t xml:space="preserve"> (</w:t>
      </w:r>
      <w:proofErr w:type="spellStart"/>
      <w:r w:rsidRPr="005423FF">
        <w:rPr>
          <w:rFonts w:cs="Calibri"/>
          <w:sz w:val="24"/>
          <w:szCs w:val="24"/>
        </w:rPr>
        <w:t>ticker</w:t>
      </w:r>
      <w:proofErr w:type="spellEnd"/>
      <w:r w:rsidRPr="005423FF">
        <w:rPr>
          <w:rFonts w:cs="Calibri"/>
          <w:sz w:val="24"/>
          <w:szCs w:val="24"/>
        </w:rPr>
        <w:t xml:space="preserve"> ALEAC), comunica che il </w:t>
      </w:r>
      <w:r w:rsidR="0056221A">
        <w:rPr>
          <w:rFonts w:cs="Calibri"/>
          <w:sz w:val="24"/>
          <w:szCs w:val="24"/>
        </w:rPr>
        <w:t>secondo</w:t>
      </w:r>
      <w:r w:rsidRPr="005423FF">
        <w:rPr>
          <w:rFonts w:cs="Calibri"/>
          <w:sz w:val="24"/>
          <w:szCs w:val="24"/>
        </w:rPr>
        <w:t xml:space="preserve"> dei tre periodi previsti per l’esercizio dei “Warrant EDAC 2018-2021”, codice ISIN IT0005351470 (</w:t>
      </w:r>
      <w:r w:rsidRPr="005423FF">
        <w:rPr>
          <w:rFonts w:cs="Calibri"/>
          <w:b/>
          <w:sz w:val="24"/>
          <w:szCs w:val="24"/>
        </w:rPr>
        <w:t>“Warrant”</w:t>
      </w:r>
      <w:r w:rsidRPr="005423FF">
        <w:rPr>
          <w:rFonts w:cs="Calibri"/>
          <w:sz w:val="24"/>
          <w:szCs w:val="24"/>
        </w:rPr>
        <w:t>) si aprirà il 1 settembre 20</w:t>
      </w:r>
      <w:r w:rsidR="0056221A">
        <w:rPr>
          <w:rFonts w:cs="Calibri"/>
          <w:sz w:val="24"/>
          <w:szCs w:val="24"/>
        </w:rPr>
        <w:t>20</w:t>
      </w:r>
      <w:r w:rsidRPr="005423FF">
        <w:rPr>
          <w:rFonts w:cs="Calibri"/>
          <w:sz w:val="24"/>
          <w:szCs w:val="24"/>
        </w:rPr>
        <w:t xml:space="preserve"> e si chiuderà il 30 settembre 20</w:t>
      </w:r>
      <w:r w:rsidR="0056221A">
        <w:rPr>
          <w:rFonts w:cs="Calibri"/>
          <w:sz w:val="24"/>
          <w:szCs w:val="24"/>
        </w:rPr>
        <w:t>20</w:t>
      </w:r>
      <w:r w:rsidRPr="005423FF">
        <w:rPr>
          <w:rFonts w:cs="Calibri"/>
          <w:sz w:val="24"/>
          <w:szCs w:val="24"/>
        </w:rPr>
        <w:t xml:space="preserve">, termine iniziale e finale compresi (il </w:t>
      </w:r>
      <w:r w:rsidRPr="005423FF">
        <w:rPr>
          <w:rFonts w:cs="Calibri"/>
          <w:b/>
          <w:sz w:val="24"/>
          <w:szCs w:val="24"/>
        </w:rPr>
        <w:t>“</w:t>
      </w:r>
      <w:r w:rsidR="0056221A">
        <w:rPr>
          <w:rFonts w:cs="Calibri"/>
          <w:b/>
          <w:sz w:val="24"/>
          <w:szCs w:val="24"/>
        </w:rPr>
        <w:t>Secondo</w:t>
      </w:r>
      <w:r w:rsidRPr="005423FF">
        <w:rPr>
          <w:rFonts w:cs="Calibri"/>
          <w:b/>
          <w:sz w:val="24"/>
          <w:szCs w:val="24"/>
        </w:rPr>
        <w:t xml:space="preserve"> Periodo di Esercizio”</w:t>
      </w:r>
      <w:r w:rsidRPr="005423FF">
        <w:rPr>
          <w:rFonts w:cs="Calibri"/>
          <w:sz w:val="24"/>
          <w:szCs w:val="24"/>
        </w:rPr>
        <w:t>)</w:t>
      </w:r>
      <w:r w:rsidR="005423FF">
        <w:rPr>
          <w:rFonts w:cs="Calibri"/>
          <w:sz w:val="24"/>
          <w:szCs w:val="24"/>
        </w:rPr>
        <w:t>.</w:t>
      </w:r>
      <w:r w:rsidRPr="005423FF">
        <w:rPr>
          <w:rFonts w:cs="Calibri"/>
          <w:sz w:val="24"/>
          <w:szCs w:val="24"/>
        </w:rPr>
        <w:t xml:space="preserve"> </w:t>
      </w:r>
    </w:p>
    <w:p w14:paraId="2632A9D2" w14:textId="77777777" w:rsidR="00D95764" w:rsidRPr="005423FF" w:rsidRDefault="00492DE9">
      <w:pPr>
        <w:ind w:left="709" w:right="1274"/>
        <w:jc w:val="both"/>
        <w:rPr>
          <w:rFonts w:cs="Calibri"/>
          <w:sz w:val="24"/>
          <w:szCs w:val="24"/>
        </w:rPr>
      </w:pPr>
      <w:r w:rsidRPr="005423FF">
        <w:rPr>
          <w:rFonts w:cs="Calibri"/>
          <w:sz w:val="24"/>
          <w:szCs w:val="24"/>
        </w:rPr>
        <w:t>I portatori dei Warrant potranno richiedere di sottoscrivere nuove azioni di compendio</w:t>
      </w:r>
      <w:r w:rsidR="00D95764" w:rsidRPr="005423FF">
        <w:rPr>
          <w:rFonts w:cs="Calibri"/>
          <w:sz w:val="24"/>
          <w:szCs w:val="24"/>
        </w:rPr>
        <w:t xml:space="preserve"> (</w:t>
      </w:r>
      <w:r w:rsidR="00D95764" w:rsidRPr="005423FF">
        <w:rPr>
          <w:rFonts w:cs="Calibri"/>
          <w:b/>
          <w:sz w:val="24"/>
          <w:szCs w:val="24"/>
        </w:rPr>
        <w:t>“Azioni di Compendio”</w:t>
      </w:r>
      <w:r w:rsidR="00D95764" w:rsidRPr="005423FF">
        <w:rPr>
          <w:rFonts w:cs="Calibri"/>
          <w:sz w:val="24"/>
          <w:szCs w:val="24"/>
        </w:rPr>
        <w:t xml:space="preserve">) </w:t>
      </w:r>
      <w:r w:rsidRPr="005423FF">
        <w:rPr>
          <w:rFonts w:cs="Calibri"/>
          <w:sz w:val="24"/>
          <w:szCs w:val="24"/>
        </w:rPr>
        <w:t>nel</w:t>
      </w:r>
      <w:r w:rsidR="00D95764" w:rsidRPr="005423FF">
        <w:rPr>
          <w:rFonts w:cs="Calibri"/>
          <w:sz w:val="24"/>
          <w:szCs w:val="24"/>
        </w:rPr>
        <w:t xml:space="preserve"> rapporto di n. 1 Azione di Compendio per ogni n. 1 Warrant presentato per l’esercizio, al prezzo di Euro </w:t>
      </w:r>
      <w:r w:rsidR="0056221A">
        <w:rPr>
          <w:rFonts w:cs="Calibri"/>
          <w:sz w:val="24"/>
          <w:szCs w:val="24"/>
        </w:rPr>
        <w:t>4</w:t>
      </w:r>
      <w:r w:rsidR="00D95764" w:rsidRPr="005423FF">
        <w:rPr>
          <w:rFonts w:cs="Calibri"/>
          <w:sz w:val="24"/>
          <w:szCs w:val="24"/>
        </w:rPr>
        <w:t>,</w:t>
      </w:r>
      <w:r w:rsidR="0056221A">
        <w:rPr>
          <w:rFonts w:cs="Calibri"/>
          <w:sz w:val="24"/>
          <w:szCs w:val="24"/>
        </w:rPr>
        <w:t>02</w:t>
      </w:r>
      <w:r w:rsidR="00D95764" w:rsidRPr="005423FF">
        <w:rPr>
          <w:rFonts w:cs="Calibri"/>
          <w:sz w:val="24"/>
          <w:szCs w:val="24"/>
        </w:rPr>
        <w:t xml:space="preserve"> (</w:t>
      </w:r>
      <w:r w:rsidR="0056221A">
        <w:rPr>
          <w:rFonts w:cs="Calibri"/>
          <w:sz w:val="24"/>
          <w:szCs w:val="24"/>
        </w:rPr>
        <w:t>quattro</w:t>
      </w:r>
      <w:r w:rsidR="00D95764" w:rsidRPr="005423FF">
        <w:rPr>
          <w:rFonts w:cs="Calibri"/>
          <w:sz w:val="24"/>
          <w:szCs w:val="24"/>
        </w:rPr>
        <w:t xml:space="preserve"> virgola </w:t>
      </w:r>
      <w:r w:rsidR="0056221A">
        <w:rPr>
          <w:rFonts w:cs="Calibri"/>
          <w:sz w:val="24"/>
          <w:szCs w:val="24"/>
        </w:rPr>
        <w:t>due</w:t>
      </w:r>
      <w:r w:rsidR="00D95764" w:rsidRPr="005423FF">
        <w:rPr>
          <w:rFonts w:cs="Calibri"/>
          <w:sz w:val="24"/>
          <w:szCs w:val="24"/>
        </w:rPr>
        <w:t>/00) per ciascuna Azione di Compendio sottoscritta.</w:t>
      </w:r>
    </w:p>
    <w:p w14:paraId="00A9AD64" w14:textId="77777777" w:rsidR="00D95764" w:rsidRPr="005423FF" w:rsidRDefault="00D95764">
      <w:pPr>
        <w:ind w:left="709" w:right="1274"/>
        <w:jc w:val="both"/>
        <w:rPr>
          <w:rFonts w:cs="Calibri"/>
          <w:sz w:val="24"/>
          <w:szCs w:val="24"/>
        </w:rPr>
      </w:pPr>
      <w:r w:rsidRPr="005423FF">
        <w:rPr>
          <w:rFonts w:cs="Calibri"/>
          <w:sz w:val="24"/>
          <w:szCs w:val="24"/>
        </w:rPr>
        <w:t xml:space="preserve">Le richieste di sottoscrizione dovranno essere presentate, in qualsiasi giorno lavorativo bancario nel corso del </w:t>
      </w:r>
      <w:r w:rsidR="0056221A">
        <w:rPr>
          <w:rFonts w:cs="Calibri"/>
          <w:sz w:val="24"/>
          <w:szCs w:val="24"/>
        </w:rPr>
        <w:t>Secondo</w:t>
      </w:r>
      <w:r w:rsidRPr="005423FF">
        <w:rPr>
          <w:rFonts w:cs="Calibri"/>
          <w:sz w:val="24"/>
          <w:szCs w:val="24"/>
        </w:rPr>
        <w:t xml:space="preserve"> Periodo di Esercizio, all’intermediario aderente a Monte Titoli S.p.A. presso cui i Warrant sono depositati.</w:t>
      </w:r>
    </w:p>
    <w:p w14:paraId="086D8F7A" w14:textId="77777777" w:rsidR="005423FF" w:rsidRPr="005423FF" w:rsidRDefault="00D95764">
      <w:pPr>
        <w:ind w:left="709" w:right="1274"/>
        <w:jc w:val="both"/>
        <w:rPr>
          <w:sz w:val="24"/>
          <w:szCs w:val="24"/>
        </w:rPr>
      </w:pPr>
      <w:r w:rsidRPr="005423FF">
        <w:rPr>
          <w:sz w:val="24"/>
          <w:szCs w:val="24"/>
        </w:rPr>
        <w:t xml:space="preserve">Le Azioni di Compendio sottoscritte dai titolari di Warrant durante il </w:t>
      </w:r>
      <w:r w:rsidR="0056221A">
        <w:rPr>
          <w:sz w:val="24"/>
          <w:szCs w:val="24"/>
        </w:rPr>
        <w:t>Secondo</w:t>
      </w:r>
      <w:r w:rsidRPr="005423FF">
        <w:rPr>
          <w:sz w:val="24"/>
          <w:szCs w:val="24"/>
        </w:rPr>
        <w:t xml:space="preserve"> Periodo di Esercizio saranno rese disponibili per la negoziazione, per il tramite di Monte Titoli S.p.A., il giorno di liquidazione successivo al termine dell’ultimo giorno del </w:t>
      </w:r>
      <w:r w:rsidR="0056221A">
        <w:rPr>
          <w:sz w:val="24"/>
          <w:szCs w:val="24"/>
        </w:rPr>
        <w:t>Secondo</w:t>
      </w:r>
      <w:r w:rsidRPr="005423FF">
        <w:rPr>
          <w:sz w:val="24"/>
          <w:szCs w:val="24"/>
        </w:rPr>
        <w:t xml:space="preserve"> Periodo di Esercizio. </w:t>
      </w:r>
      <w:r w:rsidRPr="0056221A">
        <w:rPr>
          <w:sz w:val="24"/>
          <w:szCs w:val="24"/>
        </w:rPr>
        <w:t xml:space="preserve">Non è previsto che durante il </w:t>
      </w:r>
      <w:r w:rsidR="0056221A" w:rsidRPr="0056221A">
        <w:rPr>
          <w:sz w:val="24"/>
          <w:szCs w:val="24"/>
        </w:rPr>
        <w:t>Secondo</w:t>
      </w:r>
      <w:r w:rsidRPr="0056221A">
        <w:rPr>
          <w:sz w:val="24"/>
          <w:szCs w:val="24"/>
        </w:rPr>
        <w:t xml:space="preserve"> Periodo di Esercizio si verifichino eventi idonei a determinare la sospensione della facoltà di esercizio.</w:t>
      </w:r>
      <w:r w:rsidRPr="005423FF">
        <w:rPr>
          <w:sz w:val="24"/>
          <w:szCs w:val="24"/>
        </w:rPr>
        <w:t xml:space="preserve"> </w:t>
      </w:r>
    </w:p>
    <w:p w14:paraId="6E25ECFF" w14:textId="77777777" w:rsidR="005423FF" w:rsidRPr="005423FF" w:rsidRDefault="00D95764">
      <w:pPr>
        <w:ind w:left="709" w:right="1274"/>
        <w:jc w:val="both"/>
        <w:rPr>
          <w:sz w:val="24"/>
          <w:szCs w:val="24"/>
        </w:rPr>
      </w:pPr>
      <w:r w:rsidRPr="005423FF">
        <w:rPr>
          <w:sz w:val="24"/>
          <w:szCs w:val="24"/>
        </w:rPr>
        <w:t xml:space="preserve">Resta inteso che, qualora i titolari dei Warrant non richiedano di sottoscrivere le Azioni di Compendio entro il termine finale del </w:t>
      </w:r>
      <w:r w:rsidR="0056221A">
        <w:rPr>
          <w:sz w:val="24"/>
          <w:szCs w:val="24"/>
        </w:rPr>
        <w:t>Secondo</w:t>
      </w:r>
      <w:r w:rsidRPr="005423FF">
        <w:rPr>
          <w:sz w:val="24"/>
          <w:szCs w:val="24"/>
        </w:rPr>
        <w:t xml:space="preserve"> Periodo di Esercizio, essi perderanno il relativo diritto, fatta salva nuovamente la facoltà di esercitare i Wa</w:t>
      </w:r>
      <w:r w:rsidR="005423FF" w:rsidRPr="005423FF">
        <w:rPr>
          <w:sz w:val="24"/>
          <w:szCs w:val="24"/>
        </w:rPr>
        <w:t xml:space="preserve">rrant </w:t>
      </w:r>
      <w:r w:rsidR="0056221A">
        <w:rPr>
          <w:sz w:val="24"/>
          <w:szCs w:val="24"/>
        </w:rPr>
        <w:t>nel</w:t>
      </w:r>
      <w:r w:rsidR="005423FF" w:rsidRPr="005423FF">
        <w:rPr>
          <w:sz w:val="24"/>
          <w:szCs w:val="24"/>
        </w:rPr>
        <w:t xml:space="preserve"> successiv</w:t>
      </w:r>
      <w:r w:rsidR="0056221A">
        <w:rPr>
          <w:sz w:val="24"/>
          <w:szCs w:val="24"/>
        </w:rPr>
        <w:t>o</w:t>
      </w:r>
      <w:r w:rsidR="005423FF" w:rsidRPr="005423FF">
        <w:rPr>
          <w:sz w:val="24"/>
          <w:szCs w:val="24"/>
        </w:rPr>
        <w:t xml:space="preserve"> p</w:t>
      </w:r>
      <w:r w:rsidRPr="005423FF">
        <w:rPr>
          <w:sz w:val="24"/>
          <w:szCs w:val="24"/>
        </w:rPr>
        <w:t>eriod</w:t>
      </w:r>
      <w:r w:rsidR="0056221A">
        <w:rPr>
          <w:sz w:val="24"/>
          <w:szCs w:val="24"/>
        </w:rPr>
        <w:t xml:space="preserve">o </w:t>
      </w:r>
      <w:r w:rsidRPr="005423FF">
        <w:rPr>
          <w:sz w:val="24"/>
          <w:szCs w:val="24"/>
        </w:rPr>
        <w:t xml:space="preserve">di </w:t>
      </w:r>
      <w:r w:rsidR="005423FF" w:rsidRPr="005423FF">
        <w:rPr>
          <w:sz w:val="24"/>
          <w:szCs w:val="24"/>
        </w:rPr>
        <w:t>e</w:t>
      </w:r>
      <w:r w:rsidRPr="005423FF">
        <w:rPr>
          <w:sz w:val="24"/>
          <w:szCs w:val="24"/>
        </w:rPr>
        <w:t xml:space="preserve">sercizio. </w:t>
      </w:r>
    </w:p>
    <w:p w14:paraId="4001E863" w14:textId="77777777" w:rsidR="00D95764" w:rsidRDefault="00D95764">
      <w:pPr>
        <w:ind w:left="709" w:right="1274"/>
        <w:jc w:val="both"/>
        <w:rPr>
          <w:sz w:val="24"/>
          <w:szCs w:val="24"/>
        </w:rPr>
      </w:pPr>
      <w:r w:rsidRPr="005423FF">
        <w:rPr>
          <w:sz w:val="24"/>
          <w:szCs w:val="24"/>
        </w:rPr>
        <w:t>Per maggiori informazioni si rinvia al Regolamento dei Warrant disponibile sul sito internet della società, all’indirizzo [</w:t>
      </w:r>
      <w:hyperlink r:id="rId6" w:history="1">
        <w:r w:rsidR="005423FF" w:rsidRPr="005423FF">
          <w:rPr>
            <w:rStyle w:val="Collegamentoipertestuale"/>
            <w:sz w:val="24"/>
            <w:szCs w:val="24"/>
          </w:rPr>
          <w:t>http://ediliziacrobatica.com/investor-relations-ipo/</w:t>
        </w:r>
      </w:hyperlink>
      <w:r w:rsidRPr="005423FF">
        <w:rPr>
          <w:sz w:val="24"/>
          <w:szCs w:val="24"/>
        </w:rPr>
        <w:t>]</w:t>
      </w:r>
      <w:r w:rsidR="005423FF" w:rsidRPr="005423FF">
        <w:rPr>
          <w:sz w:val="24"/>
          <w:szCs w:val="24"/>
        </w:rPr>
        <w:t>.</w:t>
      </w:r>
    </w:p>
    <w:p w14:paraId="243CF5DC" w14:textId="77777777" w:rsidR="00CF183D" w:rsidRPr="005423FF" w:rsidRDefault="00CF183D">
      <w:pPr>
        <w:ind w:left="709" w:right="1274"/>
        <w:jc w:val="both"/>
        <w:rPr>
          <w:rFonts w:cs="Calibri"/>
          <w:sz w:val="24"/>
          <w:szCs w:val="24"/>
        </w:rPr>
      </w:pPr>
    </w:p>
    <w:p w14:paraId="51B0AEDF" w14:textId="77777777" w:rsidR="00D95764" w:rsidRDefault="00D95764">
      <w:pPr>
        <w:ind w:left="709" w:right="1274"/>
        <w:jc w:val="both"/>
        <w:rPr>
          <w:rFonts w:cs="Calibri"/>
        </w:rPr>
      </w:pPr>
    </w:p>
    <w:tbl>
      <w:tblPr>
        <w:tblStyle w:val="Grigliatabell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62"/>
      </w:tblGrid>
      <w:tr w:rsidR="00CF183D" w:rsidRPr="005423FF" w14:paraId="2FA7B453" w14:textId="77777777" w:rsidTr="00C81877">
        <w:trPr>
          <w:trHeight w:val="2214"/>
        </w:trPr>
        <w:tc>
          <w:tcPr>
            <w:tcW w:w="5670" w:type="dxa"/>
          </w:tcPr>
          <w:p w14:paraId="02317276" w14:textId="77777777" w:rsidR="00CF183D" w:rsidRPr="005423FF" w:rsidRDefault="00CF183D" w:rsidP="00C81877">
            <w:pPr>
              <w:suppressAutoHyphens/>
              <w:spacing w:line="100" w:lineRule="atLeast"/>
              <w:ind w:right="1416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5423FF"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 xml:space="preserve">Investor Relator </w:t>
            </w:r>
          </w:p>
          <w:p w14:paraId="3E00DD5A" w14:textId="77777777" w:rsidR="00CF183D" w:rsidRPr="005423FF" w:rsidRDefault="00CF183D" w:rsidP="00C81877">
            <w:pPr>
              <w:suppressAutoHyphens/>
              <w:spacing w:line="100" w:lineRule="atLeast"/>
              <w:ind w:right="1416"/>
              <w:rPr>
                <w:rFonts w:eastAsia="Calibri" w:cs="Calibri"/>
                <w:bCs/>
                <w:sz w:val="24"/>
                <w:szCs w:val="24"/>
              </w:rPr>
            </w:pPr>
            <w:proofErr w:type="spellStart"/>
            <w:r w:rsidRPr="005423FF">
              <w:rPr>
                <w:rFonts w:eastAsia="Calibri" w:cs="Calibri"/>
                <w:bCs/>
                <w:sz w:val="24"/>
                <w:szCs w:val="24"/>
              </w:rPr>
              <w:t>EdiliziAcrobatica</w:t>
            </w:r>
            <w:proofErr w:type="spellEnd"/>
            <w:r w:rsidRPr="005423FF">
              <w:rPr>
                <w:rFonts w:eastAsia="Calibri" w:cs="Calibri"/>
                <w:bCs/>
                <w:sz w:val="24"/>
                <w:szCs w:val="24"/>
              </w:rPr>
              <w:t xml:space="preserve"> S.p.A.</w:t>
            </w:r>
          </w:p>
          <w:p w14:paraId="4238A049" w14:textId="77777777" w:rsidR="00CF183D" w:rsidRDefault="00CF183D" w:rsidP="00C81877">
            <w:pPr>
              <w:suppressAutoHyphens/>
              <w:spacing w:line="100" w:lineRule="atLeast"/>
              <w:ind w:right="1416"/>
              <w:rPr>
                <w:rFonts w:eastAsia="Calibri" w:cs="Calibri"/>
                <w:bCs/>
                <w:sz w:val="24"/>
                <w:szCs w:val="24"/>
              </w:rPr>
            </w:pPr>
            <w:r>
              <w:rPr>
                <w:rFonts w:eastAsia="Calibri" w:cs="Calibri"/>
                <w:bCs/>
                <w:sz w:val="24"/>
                <w:szCs w:val="24"/>
              </w:rPr>
              <w:t>Maria Concu</w:t>
            </w:r>
          </w:p>
          <w:p w14:paraId="1169F227" w14:textId="77777777" w:rsidR="00CF183D" w:rsidRDefault="00C162C6" w:rsidP="00C81877">
            <w:pPr>
              <w:suppressAutoHyphens/>
              <w:spacing w:line="100" w:lineRule="atLeast"/>
              <w:ind w:right="1416"/>
              <w:rPr>
                <w:rStyle w:val="Collegamentoipertestuale"/>
                <w:rFonts w:eastAsia="Calibri" w:cs="Calibri"/>
                <w:sz w:val="24"/>
                <w:szCs w:val="24"/>
                <w:u w:color="000080"/>
              </w:rPr>
            </w:pPr>
            <w:hyperlink r:id="rId7" w:history="1">
              <w:r w:rsidR="00CF183D" w:rsidRPr="005423FF">
                <w:rPr>
                  <w:rStyle w:val="Collegamentoipertestuale"/>
                  <w:rFonts w:eastAsia="Calibri" w:cs="Calibri"/>
                  <w:sz w:val="24"/>
                  <w:szCs w:val="24"/>
                  <w:u w:color="000080"/>
                </w:rPr>
                <w:t>investor.relator@ediliziacrobatica.com</w:t>
              </w:r>
            </w:hyperlink>
          </w:p>
          <w:p w14:paraId="287B8FA5" w14:textId="655C04EA" w:rsidR="00CF183D" w:rsidRPr="00BC750D" w:rsidRDefault="00CF183D" w:rsidP="00C81877">
            <w:pPr>
              <w:suppressAutoHyphens/>
              <w:spacing w:line="100" w:lineRule="atLeast"/>
              <w:ind w:right="1416"/>
              <w:rPr>
                <w:rStyle w:val="Nessuno"/>
                <w:rFonts w:eastAsia="Calibri" w:cs="Calibri"/>
                <w:b/>
                <w:color w:val="000080"/>
                <w:sz w:val="24"/>
                <w:szCs w:val="24"/>
                <w:u w:color="000080"/>
              </w:rPr>
            </w:pPr>
            <w:r>
              <w:rPr>
                <w:rStyle w:val="Collegamentoipertestuale"/>
                <w:rFonts w:eastAsia="Calibri" w:cs="Calibri"/>
                <w:sz w:val="24"/>
                <w:szCs w:val="24"/>
                <w:u w:color="000080"/>
              </w:rPr>
              <w:t>C: +39 34</w:t>
            </w:r>
            <w:r w:rsidR="00202DA2">
              <w:rPr>
                <w:rStyle w:val="Collegamentoipertestuale"/>
                <w:rFonts w:eastAsia="Calibri" w:cs="Calibri"/>
                <w:sz w:val="24"/>
                <w:szCs w:val="24"/>
                <w:u w:color="000080"/>
              </w:rPr>
              <w:t>0 951 0894</w:t>
            </w:r>
          </w:p>
          <w:p w14:paraId="27427FBD" w14:textId="77777777" w:rsidR="00CF183D" w:rsidRDefault="00CF183D" w:rsidP="00C81877">
            <w:pPr>
              <w:suppressAutoHyphens/>
              <w:spacing w:line="100" w:lineRule="atLeast"/>
              <w:ind w:right="1416"/>
              <w:rPr>
                <w:rFonts w:eastAsia="Calibri" w:cs="Calibri"/>
                <w:bCs/>
                <w:sz w:val="24"/>
                <w:szCs w:val="24"/>
              </w:rPr>
            </w:pPr>
            <w:r>
              <w:rPr>
                <w:rFonts w:eastAsia="Calibri" w:cs="Calibri"/>
                <w:bCs/>
                <w:sz w:val="24"/>
                <w:szCs w:val="24"/>
              </w:rPr>
              <w:t>Ufficio Stampa</w:t>
            </w:r>
          </w:p>
          <w:p w14:paraId="3D2B447C" w14:textId="77777777" w:rsidR="00CF183D" w:rsidRPr="005423FF" w:rsidRDefault="00CF183D" w:rsidP="00C81877">
            <w:pPr>
              <w:suppressAutoHyphens/>
              <w:spacing w:line="100" w:lineRule="atLeast"/>
              <w:ind w:right="1416"/>
              <w:rPr>
                <w:rFonts w:eastAsia="Helvetica Neue" w:cs="Calibri"/>
                <w:sz w:val="24"/>
                <w:szCs w:val="24"/>
              </w:rPr>
            </w:pPr>
            <w:r w:rsidRPr="005423FF">
              <w:rPr>
                <w:rFonts w:eastAsia="Calibri" w:cs="Calibri"/>
                <w:bCs/>
                <w:sz w:val="24"/>
                <w:szCs w:val="24"/>
              </w:rPr>
              <w:t>Deborah Dirani</w:t>
            </w:r>
          </w:p>
          <w:p w14:paraId="3FEF262F" w14:textId="77777777" w:rsidR="00CF183D" w:rsidRDefault="00C162C6" w:rsidP="00C81877">
            <w:pPr>
              <w:suppressAutoHyphens/>
              <w:spacing w:line="100" w:lineRule="atLeast"/>
              <w:ind w:right="1416"/>
              <w:rPr>
                <w:rStyle w:val="Nessuno"/>
                <w:rFonts w:eastAsia="Calibri" w:cs="Calibri"/>
                <w:bCs/>
                <w:sz w:val="24"/>
                <w:szCs w:val="24"/>
              </w:rPr>
            </w:pPr>
            <w:hyperlink r:id="rId8" w:history="1">
              <w:r w:rsidR="00CF183D" w:rsidRPr="00474352">
                <w:rPr>
                  <w:rStyle w:val="Collegamentoipertestuale"/>
                  <w:rFonts w:eastAsia="Calibri" w:cs="Calibri"/>
                  <w:bCs/>
                  <w:sz w:val="24"/>
                  <w:szCs w:val="24"/>
                </w:rPr>
                <w:t>ufficiostampa@ediliziacrobatica.com</w:t>
              </w:r>
            </w:hyperlink>
          </w:p>
          <w:p w14:paraId="5498AA72" w14:textId="77777777" w:rsidR="00CF183D" w:rsidRPr="005423FF" w:rsidRDefault="00CF183D" w:rsidP="00C81877">
            <w:pPr>
              <w:suppressAutoHyphens/>
              <w:spacing w:line="100" w:lineRule="atLeast"/>
              <w:ind w:right="1416"/>
              <w:rPr>
                <w:rFonts w:eastAsia="Helvetica Neue" w:cs="Calibri"/>
                <w:sz w:val="24"/>
                <w:szCs w:val="24"/>
              </w:rPr>
            </w:pPr>
            <w:r>
              <w:rPr>
                <w:rStyle w:val="Nessuno"/>
                <w:rFonts w:eastAsia="Calibri" w:cs="Calibri"/>
                <w:bCs/>
                <w:sz w:val="24"/>
                <w:szCs w:val="24"/>
              </w:rPr>
              <w:t>C: +39 393 891 1364</w:t>
            </w:r>
          </w:p>
          <w:p w14:paraId="7FCFBB4A" w14:textId="77777777" w:rsidR="00CF183D" w:rsidRPr="005423FF" w:rsidRDefault="00CF183D" w:rsidP="00C81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ind w:right="1416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F510AF4" w14:textId="77777777" w:rsidR="00CF183D" w:rsidRPr="005423FF" w:rsidRDefault="00CF183D" w:rsidP="00C81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ind w:right="1416"/>
              <w:jc w:val="both"/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 w:rsidRPr="005423FF">
              <w:rPr>
                <w:rFonts w:eastAsia="Calibri" w:cs="Calibri"/>
                <w:b/>
                <w:sz w:val="24"/>
                <w:szCs w:val="24"/>
              </w:rPr>
              <w:t>Nominated</w:t>
            </w:r>
            <w:proofErr w:type="spellEnd"/>
            <w:r w:rsidRPr="005423FF">
              <w:rPr>
                <w:rFonts w:eastAsia="Calibri" w:cs="Calibri"/>
                <w:b/>
                <w:sz w:val="24"/>
                <w:szCs w:val="24"/>
              </w:rPr>
              <w:t xml:space="preserve"> Adviser (</w:t>
            </w:r>
            <w:proofErr w:type="spellStart"/>
            <w:r w:rsidRPr="005423FF">
              <w:rPr>
                <w:rFonts w:eastAsia="Calibri" w:cs="Calibri"/>
                <w:b/>
                <w:sz w:val="24"/>
                <w:szCs w:val="24"/>
              </w:rPr>
              <w:t>Nomad</w:t>
            </w:r>
            <w:proofErr w:type="spellEnd"/>
            <w:r w:rsidRPr="005423FF">
              <w:rPr>
                <w:rFonts w:eastAsia="Calibri" w:cs="Calibri"/>
                <w:b/>
                <w:sz w:val="24"/>
                <w:szCs w:val="24"/>
              </w:rPr>
              <w:t>)</w:t>
            </w:r>
          </w:p>
          <w:p w14:paraId="431E2342" w14:textId="77777777" w:rsidR="00CF183D" w:rsidRPr="005423FF" w:rsidRDefault="00CF183D" w:rsidP="00C81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ind w:right="1416"/>
              <w:jc w:val="both"/>
              <w:rPr>
                <w:rFonts w:eastAsia="Calibri" w:cs="Calibri"/>
                <w:sz w:val="24"/>
                <w:szCs w:val="24"/>
              </w:rPr>
            </w:pPr>
            <w:r w:rsidRPr="005423FF">
              <w:rPr>
                <w:rFonts w:eastAsia="Calibri" w:cs="Calibri"/>
                <w:sz w:val="24"/>
                <w:szCs w:val="24"/>
              </w:rPr>
              <w:t>Banca Profilo S.p.A.</w:t>
            </w:r>
          </w:p>
          <w:p w14:paraId="763B750A" w14:textId="77777777" w:rsidR="00CF183D" w:rsidRPr="005423FF" w:rsidRDefault="00C162C6" w:rsidP="00C81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ind w:right="1416"/>
              <w:jc w:val="both"/>
              <w:rPr>
                <w:rFonts w:eastAsia="Calibri" w:cs="Calibri"/>
                <w:sz w:val="24"/>
                <w:szCs w:val="24"/>
              </w:rPr>
            </w:pPr>
            <w:hyperlink r:id="rId9" w:history="1">
              <w:r w:rsidR="00CF183D" w:rsidRPr="005423FF">
                <w:rPr>
                  <w:rStyle w:val="Collegamentoipertestuale"/>
                  <w:rFonts w:cs="Calibri"/>
                  <w:sz w:val="24"/>
                  <w:szCs w:val="24"/>
                </w:rPr>
                <w:t>ediliziacrobatica@bancaprofilo.it</w:t>
              </w:r>
            </w:hyperlink>
          </w:p>
          <w:p w14:paraId="6205E735" w14:textId="77777777" w:rsidR="00CF183D" w:rsidRPr="005423FF" w:rsidRDefault="00CF183D" w:rsidP="00C81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ind w:right="1416"/>
              <w:jc w:val="both"/>
              <w:rPr>
                <w:rFonts w:eastAsia="Calibri" w:cs="Calibri"/>
                <w:sz w:val="24"/>
                <w:szCs w:val="24"/>
              </w:rPr>
            </w:pPr>
            <w:r w:rsidRPr="005423FF">
              <w:rPr>
                <w:rFonts w:eastAsia="Calibri" w:cs="Calibri"/>
                <w:sz w:val="24"/>
                <w:szCs w:val="24"/>
              </w:rPr>
              <w:t>02584081</w:t>
            </w:r>
          </w:p>
          <w:p w14:paraId="1783CFB9" w14:textId="77777777" w:rsidR="00CF183D" w:rsidRPr="005423FF" w:rsidRDefault="00CF183D" w:rsidP="00C81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ind w:right="1416"/>
              <w:jc w:val="both"/>
              <w:rPr>
                <w:rFonts w:eastAsia="Calibri" w:cs="Calibri"/>
                <w:sz w:val="24"/>
                <w:szCs w:val="24"/>
              </w:rPr>
            </w:pPr>
            <w:r w:rsidRPr="005423FF">
              <w:rPr>
                <w:rFonts w:eastAsia="Calibri" w:cs="Calibri"/>
                <w:sz w:val="24"/>
                <w:szCs w:val="24"/>
              </w:rPr>
              <w:t>www.bancaprofilo.it</w:t>
            </w:r>
          </w:p>
          <w:p w14:paraId="36C49C29" w14:textId="77777777" w:rsidR="00CF183D" w:rsidRPr="005423FF" w:rsidRDefault="00CF183D" w:rsidP="00C81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ind w:right="1416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4FBDAF6A" w14:textId="77777777" w:rsidR="00DC5F6A" w:rsidRPr="00492DE9" w:rsidRDefault="00DC5F6A" w:rsidP="0048044E">
      <w:pPr>
        <w:ind w:right="1274"/>
        <w:jc w:val="both"/>
        <w:rPr>
          <w:rFonts w:eastAsia="Trebuchet MS" w:cs="Calibri"/>
        </w:rPr>
      </w:pPr>
    </w:p>
    <w:p w14:paraId="3AFF587D" w14:textId="77777777" w:rsidR="00621E79" w:rsidRPr="00492DE9" w:rsidRDefault="00621E79">
      <w:pPr>
        <w:ind w:left="709" w:right="1274"/>
        <w:jc w:val="both"/>
        <w:rPr>
          <w:rFonts w:cs="Calibri"/>
        </w:rPr>
      </w:pPr>
    </w:p>
    <w:p w14:paraId="70F28B39" w14:textId="77777777" w:rsidR="00621E79" w:rsidRPr="00492DE9" w:rsidRDefault="00621E79">
      <w:pPr>
        <w:ind w:left="709" w:right="1274"/>
        <w:jc w:val="both"/>
        <w:rPr>
          <w:rFonts w:cs="Calibri"/>
        </w:rPr>
      </w:pPr>
    </w:p>
    <w:p w14:paraId="23D4056A" w14:textId="77777777" w:rsidR="00621E79" w:rsidRDefault="00621E79">
      <w:pPr>
        <w:suppressAutoHyphens/>
        <w:spacing w:after="0" w:line="100" w:lineRule="atLeast"/>
        <w:ind w:left="1134" w:right="1416"/>
        <w:jc w:val="both"/>
      </w:pPr>
    </w:p>
    <w:sectPr w:rsidR="00621E79">
      <w:headerReference w:type="default" r:id="rId10"/>
      <w:footerReference w:type="default" r:id="rId11"/>
      <w:pgSz w:w="11900" w:h="16840"/>
      <w:pgMar w:top="2127" w:right="0" w:bottom="1134" w:left="0" w:header="0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1860" w14:textId="77777777" w:rsidR="00C162C6" w:rsidRDefault="00C162C6">
      <w:pPr>
        <w:spacing w:after="0" w:line="240" w:lineRule="auto"/>
      </w:pPr>
      <w:r>
        <w:separator/>
      </w:r>
    </w:p>
  </w:endnote>
  <w:endnote w:type="continuationSeparator" w:id="0">
    <w:p w14:paraId="24EAF3CD" w14:textId="77777777" w:rsidR="00C162C6" w:rsidRDefault="00C1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46FF" w14:textId="77777777" w:rsidR="00621E79" w:rsidRDefault="00DC5F6A">
    <w:pPr>
      <w:pStyle w:val="Pidipagina"/>
    </w:pPr>
    <w:r>
      <w:rPr>
        <w:rStyle w:val="NessunoA"/>
        <w:noProof/>
      </w:rPr>
      <w:drawing>
        <wp:inline distT="0" distB="0" distL="0" distR="0" wp14:anchorId="35103C00" wp14:editId="4ADAA876">
          <wp:extent cx="7556500" cy="1681253"/>
          <wp:effectExtent l="0" t="0" r="0" b="0"/>
          <wp:docPr id="1073741826" name="officeArt object" descr="foot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 2.jpg" descr="footer 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812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A420E" w14:textId="77777777" w:rsidR="00C162C6" w:rsidRDefault="00C162C6">
      <w:pPr>
        <w:spacing w:after="0" w:line="240" w:lineRule="auto"/>
      </w:pPr>
      <w:r>
        <w:separator/>
      </w:r>
    </w:p>
  </w:footnote>
  <w:footnote w:type="continuationSeparator" w:id="0">
    <w:p w14:paraId="78CBEC5A" w14:textId="77777777" w:rsidR="00C162C6" w:rsidRDefault="00C1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7CB9" w14:textId="77777777" w:rsidR="00621E79" w:rsidRDefault="00DC5F6A">
    <w:pPr>
      <w:pStyle w:val="Intestazione"/>
    </w:pPr>
    <w:r>
      <w:rPr>
        <w:rStyle w:val="NessunoA"/>
        <w:noProof/>
      </w:rPr>
      <w:drawing>
        <wp:inline distT="0" distB="0" distL="0" distR="0" wp14:anchorId="4BCA43E1" wp14:editId="299ADCAA">
          <wp:extent cx="7556500" cy="1047857"/>
          <wp:effectExtent l="0" t="0" r="0" b="0"/>
          <wp:docPr id="1073741825" name="officeArt object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.jpg" descr="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478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79"/>
    <w:rsid w:val="001A14E7"/>
    <w:rsid w:val="00202DA2"/>
    <w:rsid w:val="002B63CF"/>
    <w:rsid w:val="00387CCE"/>
    <w:rsid w:val="0048044E"/>
    <w:rsid w:val="00492DE9"/>
    <w:rsid w:val="00493F8E"/>
    <w:rsid w:val="005423FF"/>
    <w:rsid w:val="0056221A"/>
    <w:rsid w:val="005C6356"/>
    <w:rsid w:val="00621E79"/>
    <w:rsid w:val="007702B0"/>
    <w:rsid w:val="00902C4A"/>
    <w:rsid w:val="009B4B06"/>
    <w:rsid w:val="00A1519D"/>
    <w:rsid w:val="00B51370"/>
    <w:rsid w:val="00C162C6"/>
    <w:rsid w:val="00CA05CA"/>
    <w:rsid w:val="00CF183D"/>
    <w:rsid w:val="00D77483"/>
    <w:rsid w:val="00D95764"/>
    <w:rsid w:val="00DC5F6A"/>
    <w:rsid w:val="00E56583"/>
    <w:rsid w:val="00F47003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F7DC"/>
  <w15:docId w15:val="{48439CF0-15B9-42BD-B0CC-55516BE2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A">
    <w:name w:val="Nessuno A"/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4"/>
      <w:szCs w:val="24"/>
      <w:u w:val="single" w:color="000080"/>
      <w:vertAlign w:val="baseline"/>
    </w:rPr>
  </w:style>
  <w:style w:type="table" w:styleId="Grigliatabella">
    <w:name w:val="Table Grid"/>
    <w:basedOn w:val="Tabellanormale"/>
    <w:uiPriority w:val="39"/>
    <w:rsid w:val="00DC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F6A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ediliziacrobatic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vestor.relator@ediliziacrobatic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iliziacrobatica.com/investor-relations-ipo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diliziacrobatica@bancaprofil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Coluzzi Chiara</dc:creator>
  <cp:lastModifiedBy>Maria Concu</cp:lastModifiedBy>
  <cp:revision>2</cp:revision>
  <dcterms:created xsi:type="dcterms:W3CDTF">2020-09-01T13:02:00Z</dcterms:created>
  <dcterms:modified xsi:type="dcterms:W3CDTF">2020-09-01T13:02:00Z</dcterms:modified>
</cp:coreProperties>
</file>